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91" w:rsidRDefault="00D87891" w:rsidP="00D87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91">
        <w:rPr>
          <w:rFonts w:ascii="Times New Roman" w:hAnsi="Times New Roman" w:cs="Times New Roman"/>
          <w:b/>
          <w:sz w:val="24"/>
          <w:szCs w:val="24"/>
        </w:rPr>
        <w:t>Измерение амбиполярного потенциала плазмы в ГДЛ методом доплеровской спектроскопии</w:t>
      </w:r>
    </w:p>
    <w:p w:rsidR="000176C1" w:rsidRPr="00D87891" w:rsidRDefault="000176C1" w:rsidP="00D87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91" w:rsidRDefault="00D87891" w:rsidP="00D87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0176C1" w:rsidRDefault="000176C1" w:rsidP="00D87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540" w:rsidRDefault="00C81540" w:rsidP="00D87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А.А. Лизунов, В.В. Максимов</w:t>
      </w:r>
    </w:p>
    <w:p w:rsidR="000176C1" w:rsidRPr="000B36CD" w:rsidRDefault="000176C1" w:rsidP="00D87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11A" w:rsidRDefault="00E360CD" w:rsidP="00E360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19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1709420</wp:posOffset>
            </wp:positionH>
            <wp:positionV relativeFrom="page">
              <wp:posOffset>5556885</wp:posOffset>
            </wp:positionV>
            <wp:extent cx="4319905" cy="3023870"/>
            <wp:effectExtent l="0" t="0" r="4445" b="508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51F7A" wp14:editId="00D5385B">
                <wp:simplePos x="0" y="0"/>
                <wp:positionH relativeFrom="margin">
                  <wp:align>right</wp:align>
                </wp:positionH>
                <wp:positionV relativeFrom="paragraph">
                  <wp:posOffset>6342380</wp:posOffset>
                </wp:positionV>
                <wp:extent cx="5940425" cy="635"/>
                <wp:effectExtent l="0" t="0" r="3175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6E9" w:rsidRPr="00D87891" w:rsidRDefault="006E56E9" w:rsidP="006E56E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217D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Рисунок</w:t>
                            </w:r>
                            <w:r w:rsidRPr="00D87891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: Зависимость перепада амбиполярного потенциала пробка-стенка (синий) и центр-стенка (красный) дейтериевой плазмы в ГДЛ. Зелёный: перепад потенциала центр-стенка для гелиевой мишенной плазмы.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451F7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6.55pt;margin-top:499.4pt;width:467.75pt;height: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" stroked="f">
                <v:textbox style="mso-fit-shape-to-text:t" inset="0,0,0,0">
                  <w:txbxContent>
                    <w:p w:rsidR="006E56E9" w:rsidRPr="00D87891" w:rsidRDefault="006E56E9" w:rsidP="006E56E9">
                      <w:pPr>
                        <w:pStyle w:val="a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C217D5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Рисунок</w:t>
                      </w:r>
                      <w:r w:rsidRPr="00D87891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>: Зависимость перепада амбиполярного потенциала пробка-стенка (синий) и центр-стенка (красный) дейтериевой плазмы в ГДЛ. Зелёный: перепад потенциала центр-стенка для гелиевой мишенной плазмы.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1683">
        <w:rPr>
          <w:rFonts w:ascii="Times New Roman" w:hAnsi="Times New Roman" w:cs="Times New Roman"/>
          <w:sz w:val="24"/>
          <w:szCs w:val="24"/>
        </w:rPr>
        <w:t xml:space="preserve">На установке </w:t>
      </w:r>
      <w:r w:rsidR="000E40A8">
        <w:rPr>
          <w:rFonts w:ascii="Times New Roman" w:hAnsi="Times New Roman" w:cs="Times New Roman"/>
          <w:sz w:val="24"/>
          <w:szCs w:val="24"/>
        </w:rPr>
        <w:t>ГДЛ</w:t>
      </w:r>
      <w:r w:rsidR="00051683">
        <w:rPr>
          <w:rFonts w:ascii="Times New Roman" w:hAnsi="Times New Roman" w:cs="Times New Roman"/>
          <w:sz w:val="24"/>
          <w:szCs w:val="24"/>
        </w:rPr>
        <w:t xml:space="preserve">, разработана спектроскопическая диагностика высокого разрешения для детального исследования формы спектральных линий излучения атомов и ионов в потоке плазмы в расширителе. </w:t>
      </w:r>
      <w:r w:rsidR="00F4207A">
        <w:rPr>
          <w:rFonts w:ascii="Times New Roman" w:hAnsi="Times New Roman" w:cs="Times New Roman"/>
          <w:sz w:val="24"/>
          <w:szCs w:val="24"/>
        </w:rPr>
        <w:t>Использование</w:t>
      </w:r>
      <w:r w:rsidR="00234C85">
        <w:rPr>
          <w:rFonts w:ascii="Times New Roman" w:hAnsi="Times New Roman" w:cs="Times New Roman"/>
          <w:sz w:val="24"/>
          <w:szCs w:val="24"/>
        </w:rPr>
        <w:t xml:space="preserve"> </w:t>
      </w:r>
      <w:r w:rsidR="00051683" w:rsidRPr="000F0F53">
        <w:rPr>
          <w:rFonts w:ascii="Times New Roman" w:hAnsi="Times New Roman" w:cs="Times New Roman"/>
          <w:sz w:val="24"/>
          <w:szCs w:val="24"/>
        </w:rPr>
        <w:t>газовой мишени</w:t>
      </w:r>
      <w:r w:rsidR="00051683">
        <w:rPr>
          <w:rFonts w:ascii="Times New Roman" w:hAnsi="Times New Roman" w:cs="Times New Roman"/>
          <w:sz w:val="24"/>
          <w:szCs w:val="24"/>
        </w:rPr>
        <w:t xml:space="preserve">, </w:t>
      </w:r>
      <w:r w:rsidR="005520DA">
        <w:rPr>
          <w:rFonts w:ascii="Times New Roman" w:hAnsi="Times New Roman" w:cs="Times New Roman"/>
          <w:sz w:val="24"/>
          <w:szCs w:val="24"/>
        </w:rPr>
        <w:t>позволило</w:t>
      </w:r>
      <w:r w:rsidR="00F4207A">
        <w:rPr>
          <w:rFonts w:ascii="Times New Roman" w:hAnsi="Times New Roman" w:cs="Times New Roman"/>
          <w:sz w:val="24"/>
          <w:szCs w:val="24"/>
        </w:rPr>
        <w:t xml:space="preserve"> обеспечить пространственную локализацию измерений. Методом доплеровс</w:t>
      </w:r>
      <w:r w:rsidR="000E40A8">
        <w:rPr>
          <w:rFonts w:ascii="Times New Roman" w:hAnsi="Times New Roman" w:cs="Times New Roman"/>
          <w:sz w:val="24"/>
          <w:szCs w:val="24"/>
        </w:rPr>
        <w:t>кой спектроскопии, были</w:t>
      </w:r>
      <w:r w:rsidR="00F4207A">
        <w:rPr>
          <w:rFonts w:ascii="Times New Roman" w:hAnsi="Times New Roman" w:cs="Times New Roman"/>
          <w:sz w:val="24"/>
          <w:szCs w:val="24"/>
        </w:rPr>
        <w:t xml:space="preserve"> измерены параметры функции распределения ионов</w:t>
      </w:r>
      <w:r w:rsidR="00234C85">
        <w:rPr>
          <w:rFonts w:ascii="Times New Roman" w:hAnsi="Times New Roman" w:cs="Times New Roman"/>
          <w:sz w:val="24"/>
          <w:szCs w:val="24"/>
        </w:rPr>
        <w:t xml:space="preserve"> мишенной плазмы</w:t>
      </w:r>
      <w:r w:rsidR="00F4207A">
        <w:rPr>
          <w:rFonts w:ascii="Times New Roman" w:hAnsi="Times New Roman" w:cs="Times New Roman"/>
          <w:sz w:val="24"/>
          <w:szCs w:val="24"/>
        </w:rPr>
        <w:t>: скорость</w:t>
      </w:r>
      <w:r w:rsidR="000E40A8">
        <w:rPr>
          <w:rFonts w:ascii="Times New Roman" w:hAnsi="Times New Roman" w:cs="Times New Roman"/>
          <w:sz w:val="24"/>
          <w:szCs w:val="24"/>
        </w:rPr>
        <w:t xml:space="preserve"> и</w:t>
      </w:r>
      <w:r w:rsidR="00F4207A">
        <w:rPr>
          <w:rFonts w:ascii="Times New Roman" w:hAnsi="Times New Roman" w:cs="Times New Roman"/>
          <w:sz w:val="24"/>
          <w:szCs w:val="24"/>
        </w:rPr>
        <w:t xml:space="preserve"> температура. </w:t>
      </w:r>
      <w:r w:rsidR="006C051C">
        <w:rPr>
          <w:rFonts w:ascii="Times New Roman" w:hAnsi="Times New Roman" w:cs="Times New Roman"/>
          <w:sz w:val="24"/>
          <w:szCs w:val="24"/>
        </w:rPr>
        <w:t>Точность измерения разности потенциала вдоль силовой линии, ускоряющего ионы до данной скорости, составила 3÷10% в различных режимах</w:t>
      </w:r>
      <w:r w:rsidR="00810094">
        <w:rPr>
          <w:rFonts w:ascii="Times New Roman" w:hAnsi="Times New Roman" w:cs="Times New Roman"/>
          <w:sz w:val="24"/>
          <w:szCs w:val="24"/>
        </w:rPr>
        <w:t>,</w:t>
      </w:r>
      <w:r w:rsidR="006C051C">
        <w:rPr>
          <w:rFonts w:ascii="Times New Roman" w:hAnsi="Times New Roman" w:cs="Times New Roman"/>
          <w:sz w:val="24"/>
          <w:szCs w:val="24"/>
        </w:rPr>
        <w:t xml:space="preserve"> при временном разрешении 0.5 </w:t>
      </w:r>
      <w:proofErr w:type="spellStart"/>
      <w:r w:rsidR="006C051C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6C051C">
        <w:rPr>
          <w:rFonts w:ascii="Times New Roman" w:hAnsi="Times New Roman" w:cs="Times New Roman"/>
          <w:sz w:val="24"/>
          <w:szCs w:val="24"/>
        </w:rPr>
        <w:t xml:space="preserve"> и частоте следования измерений 1.2 кГц.</w:t>
      </w:r>
      <w:r w:rsidR="00810094">
        <w:rPr>
          <w:rFonts w:ascii="Times New Roman" w:hAnsi="Times New Roman" w:cs="Times New Roman"/>
          <w:sz w:val="24"/>
          <w:szCs w:val="24"/>
        </w:rPr>
        <w:t xml:space="preserve"> Исследованы динамика амбиполярного потенциала в большом количестве экспериментов, его пространственный профиль, зависимость перепада потенциала между центром ГДЛ и торцевой стенкой от электронной температуры. </w:t>
      </w:r>
      <w:r w:rsidR="008A39CD">
        <w:rPr>
          <w:rFonts w:ascii="Times New Roman" w:hAnsi="Times New Roman" w:cs="Times New Roman"/>
          <w:sz w:val="24"/>
          <w:szCs w:val="24"/>
        </w:rPr>
        <w:t>Последняя</w:t>
      </w:r>
      <w:r w:rsidR="009E3FCA">
        <w:rPr>
          <w:rFonts w:ascii="Times New Roman" w:hAnsi="Times New Roman" w:cs="Times New Roman"/>
          <w:sz w:val="24"/>
          <w:szCs w:val="24"/>
        </w:rPr>
        <w:t xml:space="preserve"> зависимость</w:t>
      </w:r>
      <w:r w:rsidR="008A39CD">
        <w:rPr>
          <w:rFonts w:ascii="Times New Roman" w:hAnsi="Times New Roman" w:cs="Times New Roman"/>
          <w:sz w:val="24"/>
          <w:szCs w:val="24"/>
        </w:rPr>
        <w:t xml:space="preserve">, показанная на рисунке, позволила вычислить коэффициенты пропорциональности: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=2.6±0.6</m:t>
        </m:r>
      </m:oMath>
      <w:r w:rsidR="008A39C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для потенциала плазмы в пробке и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∆φ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den>
        </m:f>
        <m:r>
          <w:rPr>
            <w:rFonts w:ascii="Cambria Math" w:hAnsi="Cambria Math"/>
          </w:rPr>
          <m:t>=3.0</m:t>
        </m:r>
        <m:r>
          <w:rPr>
            <w:rFonts w:ascii="Cambria Math" w:eastAsiaTheme="minorEastAsia" w:hAnsi="Cambria Math"/>
          </w:rPr>
          <m:t>±0.5</m:t>
        </m:r>
      </m:oMath>
      <w:r w:rsidR="008A39CD">
        <w:rPr>
          <w:rFonts w:ascii="Times New Roman" w:eastAsiaTheme="minorEastAsia" w:hAnsi="Times New Roman" w:cs="Times New Roman"/>
          <w:iCs/>
        </w:rPr>
        <w:t xml:space="preserve"> для потенциала</w:t>
      </w:r>
      <w:r w:rsidR="000E3D25">
        <w:rPr>
          <w:rFonts w:ascii="Times New Roman" w:eastAsiaTheme="minorEastAsia" w:hAnsi="Times New Roman" w:cs="Times New Roman"/>
          <w:iCs/>
        </w:rPr>
        <w:t xml:space="preserve"> плазмы</w:t>
      </w:r>
      <w:r w:rsidR="008A39CD">
        <w:rPr>
          <w:rFonts w:ascii="Times New Roman" w:eastAsiaTheme="minorEastAsia" w:hAnsi="Times New Roman" w:cs="Times New Roman"/>
          <w:iCs/>
        </w:rPr>
        <w:t xml:space="preserve"> в центре. </w:t>
      </w:r>
      <w:r w:rsidR="008A39CD" w:rsidRPr="000F0F53">
        <w:rPr>
          <w:rFonts w:ascii="Times New Roman" w:hAnsi="Times New Roman" w:cs="Times New Roman"/>
          <w:sz w:val="24"/>
          <w:szCs w:val="24"/>
        </w:rPr>
        <w:t xml:space="preserve">Это </w:t>
      </w:r>
      <w:r w:rsidR="0069403D">
        <w:rPr>
          <w:rFonts w:ascii="Times New Roman" w:hAnsi="Times New Roman" w:cs="Times New Roman"/>
          <w:sz w:val="24"/>
          <w:szCs w:val="24"/>
        </w:rPr>
        <w:t>подтверждает</w:t>
      </w:r>
      <w:r w:rsidR="008A39CD" w:rsidRPr="000F0F53">
        <w:rPr>
          <w:rFonts w:ascii="Times New Roman" w:hAnsi="Times New Roman" w:cs="Times New Roman"/>
          <w:sz w:val="24"/>
          <w:szCs w:val="24"/>
        </w:rPr>
        <w:t xml:space="preserve"> </w:t>
      </w:r>
      <w:r w:rsidR="008A39CD">
        <w:rPr>
          <w:rFonts w:ascii="Times New Roman" w:hAnsi="Times New Roman" w:cs="Times New Roman"/>
          <w:sz w:val="24"/>
          <w:szCs w:val="24"/>
        </w:rPr>
        <w:t xml:space="preserve">справедливость </w:t>
      </w:r>
      <w:r w:rsidR="008A39CD" w:rsidRPr="000F0F53">
        <w:rPr>
          <w:rFonts w:ascii="Times New Roman" w:hAnsi="Times New Roman" w:cs="Times New Roman"/>
          <w:sz w:val="24"/>
          <w:szCs w:val="24"/>
        </w:rPr>
        <w:t>теоретических моделей</w:t>
      </w:r>
      <w:r w:rsidR="008A39CD">
        <w:rPr>
          <w:rFonts w:ascii="Times New Roman" w:hAnsi="Times New Roman" w:cs="Times New Roman"/>
          <w:sz w:val="24"/>
          <w:szCs w:val="24"/>
        </w:rPr>
        <w:t xml:space="preserve"> продольного переноса</w:t>
      </w:r>
      <w:r w:rsidR="008A39CD" w:rsidRPr="000F0F53">
        <w:rPr>
          <w:rFonts w:ascii="Times New Roman" w:hAnsi="Times New Roman" w:cs="Times New Roman"/>
          <w:sz w:val="24"/>
          <w:szCs w:val="24"/>
        </w:rPr>
        <w:t xml:space="preserve"> энергии в ловушках открытого типа</w:t>
      </w:r>
      <w:r w:rsidR="0069403D">
        <w:rPr>
          <w:rFonts w:ascii="Times New Roman" w:hAnsi="Times New Roman" w:cs="Times New Roman"/>
          <w:sz w:val="24"/>
          <w:szCs w:val="24"/>
        </w:rPr>
        <w:t>, давая возможность оценивать термоизоляцию плазмы от стенки, в том числе, для ГДМЛ.</w:t>
      </w:r>
    </w:p>
    <w:p w:rsidR="000D190A" w:rsidRPr="000F0F53" w:rsidRDefault="00C81540" w:rsidP="000176C1">
      <w:pPr>
        <w:pStyle w:val="a3"/>
      </w:pPr>
      <w:r>
        <w:rPr>
          <w:lang w:eastAsia="ar-SA"/>
        </w:rPr>
        <w:t>Государственное задание, тема №14.1.1 Осесимметричные открытые ловушки с улучшенным продольным удержанием.</w:t>
      </w:r>
    </w:p>
    <w:sectPr w:rsidR="000D190A" w:rsidRPr="000F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3"/>
    <w:rsid w:val="000176C1"/>
    <w:rsid w:val="00051683"/>
    <w:rsid w:val="000D190A"/>
    <w:rsid w:val="000E3D25"/>
    <w:rsid w:val="000E40A8"/>
    <w:rsid w:val="000F0F53"/>
    <w:rsid w:val="00234C85"/>
    <w:rsid w:val="003214F1"/>
    <w:rsid w:val="005520DA"/>
    <w:rsid w:val="0069403D"/>
    <w:rsid w:val="006C051C"/>
    <w:rsid w:val="006E56E9"/>
    <w:rsid w:val="007914B2"/>
    <w:rsid w:val="007E6BF9"/>
    <w:rsid w:val="00810094"/>
    <w:rsid w:val="008A39CD"/>
    <w:rsid w:val="009E3FCA"/>
    <w:rsid w:val="00AD611A"/>
    <w:rsid w:val="00B316C8"/>
    <w:rsid w:val="00C217D5"/>
    <w:rsid w:val="00C31597"/>
    <w:rsid w:val="00C81540"/>
    <w:rsid w:val="00D8204B"/>
    <w:rsid w:val="00D87891"/>
    <w:rsid w:val="00DC04DF"/>
    <w:rsid w:val="00E360CD"/>
    <w:rsid w:val="00F4207A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6E56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8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6E56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8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Lizunov Andrej</dc:creator>
  <cp:keywords/>
  <dc:description/>
  <cp:lastModifiedBy>Пользователь Windows</cp:lastModifiedBy>
  <cp:revision>10</cp:revision>
  <dcterms:created xsi:type="dcterms:W3CDTF">2020-12-04T05:32:00Z</dcterms:created>
  <dcterms:modified xsi:type="dcterms:W3CDTF">2020-12-04T10:29:00Z</dcterms:modified>
</cp:coreProperties>
</file>