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F" w:rsidRDefault="00163F59">
      <w:pPr>
        <w:pStyle w:val="a5"/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Взаимодействие в конечном состоянии в процессах с рождением</w:t>
      </w:r>
      <w:r>
        <w:rPr>
          <w:rFonts w:ascii="Times New Roman" w:hAnsi="Times New Roman" w:cs="Times New Roman"/>
          <w:b/>
          <w:szCs w:val="24"/>
        </w:rPr>
        <w:br/>
        <w:t>барион-</w:t>
      </w:r>
      <w:proofErr w:type="spellStart"/>
      <w:r>
        <w:rPr>
          <w:rFonts w:ascii="Times New Roman" w:hAnsi="Times New Roman" w:cs="Times New Roman"/>
          <w:b/>
          <w:szCs w:val="24"/>
        </w:rPr>
        <w:t>антибарионных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пар</w:t>
      </w:r>
    </w:p>
    <w:p w:rsidR="009D240F" w:rsidRPr="00A914A0" w:rsidRDefault="00163F59" w:rsidP="00A914A0">
      <w:pPr>
        <w:spacing w:after="0"/>
        <w:jc w:val="center"/>
      </w:pPr>
      <w:r>
        <w:rPr>
          <w:rFonts w:ascii="Times New Roman" w:hAnsi="Times New Roman" w:cs="Times New Roman"/>
          <w:szCs w:val="24"/>
        </w:rPr>
        <w:t>Институт ядерной физики им. Г. И. </w:t>
      </w:r>
      <w:proofErr w:type="spellStart"/>
      <w:r>
        <w:rPr>
          <w:rFonts w:ascii="Times New Roman" w:hAnsi="Times New Roman" w:cs="Times New Roman"/>
          <w:szCs w:val="24"/>
        </w:rPr>
        <w:t>Будкера</w:t>
      </w:r>
      <w:proofErr w:type="spellEnd"/>
      <w:r>
        <w:rPr>
          <w:rFonts w:ascii="Times New Roman" w:hAnsi="Times New Roman" w:cs="Times New Roman"/>
          <w:szCs w:val="24"/>
        </w:rPr>
        <w:t xml:space="preserve"> СО РАН</w:t>
      </w:r>
    </w:p>
    <w:p w:rsidR="009D240F" w:rsidRDefault="00163F59" w:rsidP="00A914A0">
      <w:pPr>
        <w:spacing w:after="120"/>
        <w:jc w:val="center"/>
      </w:pPr>
      <w:r>
        <w:rPr>
          <w:rFonts w:ascii="Times New Roman" w:hAnsi="Times New Roman" w:cs="Times New Roman"/>
          <w:szCs w:val="24"/>
        </w:rPr>
        <w:t xml:space="preserve">Авторы: А. И. </w:t>
      </w:r>
      <w:proofErr w:type="spellStart"/>
      <w:r>
        <w:rPr>
          <w:rFonts w:ascii="Times New Roman" w:hAnsi="Times New Roman" w:cs="Times New Roman"/>
          <w:szCs w:val="24"/>
        </w:rPr>
        <w:t>Мильштейн</w:t>
      </w:r>
      <w:proofErr w:type="spellEnd"/>
      <w:r>
        <w:rPr>
          <w:rFonts w:ascii="Times New Roman" w:hAnsi="Times New Roman" w:cs="Times New Roman"/>
          <w:szCs w:val="24"/>
        </w:rPr>
        <w:t>, С. Г. Сальников</w:t>
      </w:r>
    </w:p>
    <w:p w:rsidR="009D240F" w:rsidRDefault="00A914A0">
      <w:pPr>
        <w:spacing w:after="120"/>
        <w:ind w:firstLine="567"/>
        <w:jc w:val="both"/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3263265</wp:posOffset>
            </wp:positionH>
            <wp:positionV relativeFrom="paragraph">
              <wp:posOffset>2245995</wp:posOffset>
            </wp:positionV>
            <wp:extent cx="2080895" cy="145732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F59">
        <w:rPr>
          <w:rFonts w:ascii="Times New Roman" w:hAnsi="Times New Roman" w:cs="Times New Roman"/>
          <w:szCs w:val="24"/>
        </w:rPr>
        <w:t xml:space="preserve">Впервые показано, что взаимодействие в конечном состоянии объясняет </w:t>
      </w:r>
      <w:proofErr w:type="spellStart"/>
      <w:r w:rsidR="00163F59">
        <w:rPr>
          <w:rFonts w:ascii="Times New Roman" w:hAnsi="Times New Roman" w:cs="Times New Roman"/>
          <w:szCs w:val="24"/>
        </w:rPr>
        <w:t>припороговое</w:t>
      </w:r>
      <w:proofErr w:type="spellEnd"/>
      <w:r w:rsidR="00163F59">
        <w:rPr>
          <w:rFonts w:ascii="Times New Roman" w:hAnsi="Times New Roman" w:cs="Times New Roman"/>
          <w:szCs w:val="24"/>
        </w:rPr>
        <w:t xml:space="preserve"> усиление вероятности рождения пары очарованных лямбда- и </w:t>
      </w:r>
      <w:proofErr w:type="spellStart"/>
      <w:r w:rsidR="00163F59">
        <w:rPr>
          <w:rFonts w:ascii="Times New Roman" w:hAnsi="Times New Roman" w:cs="Times New Roman"/>
          <w:szCs w:val="24"/>
        </w:rPr>
        <w:t>антилямбда</w:t>
      </w:r>
      <w:proofErr w:type="spellEnd"/>
      <w:r w:rsidR="00163F59">
        <w:rPr>
          <w:rFonts w:ascii="Times New Roman" w:hAnsi="Times New Roman" w:cs="Times New Roman"/>
          <w:szCs w:val="24"/>
        </w:rPr>
        <w:t xml:space="preserve">-гиперонов в электрон-позитронной аннигиляции. Учёт взаимодействия между лямбда- и </w:t>
      </w:r>
      <w:proofErr w:type="spellStart"/>
      <w:r w:rsidR="00163F59">
        <w:rPr>
          <w:rFonts w:ascii="Times New Roman" w:hAnsi="Times New Roman" w:cs="Times New Roman"/>
          <w:szCs w:val="24"/>
        </w:rPr>
        <w:t>антилямбда</w:t>
      </w:r>
      <w:proofErr w:type="spellEnd"/>
      <w:r w:rsidR="00163F59">
        <w:rPr>
          <w:rFonts w:ascii="Times New Roman" w:hAnsi="Times New Roman" w:cs="Times New Roman"/>
          <w:szCs w:val="24"/>
        </w:rPr>
        <w:t>-гиперонами также позволил описать нетривиальную зависимость от энергии сечения аннигиляции электрон-позитронной пары в лямбда-</w:t>
      </w:r>
      <w:proofErr w:type="spellStart"/>
      <w:r w:rsidR="00163F59">
        <w:rPr>
          <w:rFonts w:ascii="Times New Roman" w:hAnsi="Times New Roman" w:cs="Times New Roman"/>
          <w:szCs w:val="24"/>
        </w:rPr>
        <w:t>антилямбда</w:t>
      </w:r>
      <w:proofErr w:type="spellEnd"/>
      <w:r w:rsidR="00163F59">
        <w:rPr>
          <w:rFonts w:ascii="Times New Roman" w:hAnsi="Times New Roman" w:cs="Times New Roman"/>
          <w:szCs w:val="24"/>
        </w:rPr>
        <w:t xml:space="preserve"> и фи-мезон. Уточнено описание нуклон-антинуклонного взаимодействия в конечном состоянии в процессах с рождением реальных или виртуальных нуклон-антинуклонных пар. Для этого использованы новые экспериментальные данные, полученные в ИЯФ и других научных центрах. Нуклон-антинуклонное взаимодействие в промежуточном состоянии объясняет сильную энергетическую зависимость сечений рождения шести пионов, а также двух пионов и двух </w:t>
      </w:r>
      <w:proofErr w:type="spellStart"/>
      <w:r w:rsidR="00163F59">
        <w:rPr>
          <w:rFonts w:ascii="Times New Roman" w:hAnsi="Times New Roman" w:cs="Times New Roman"/>
          <w:szCs w:val="24"/>
        </w:rPr>
        <w:t>каонов</w:t>
      </w:r>
      <w:proofErr w:type="spellEnd"/>
      <w:r w:rsidR="00163F59">
        <w:rPr>
          <w:rFonts w:ascii="Times New Roman" w:hAnsi="Times New Roman" w:cs="Times New Roman"/>
          <w:szCs w:val="24"/>
        </w:rPr>
        <w:t>.</w:t>
      </w:r>
    </w:p>
    <w:p w:rsidR="009D240F" w:rsidRDefault="00163F59">
      <w:pPr>
        <w:spacing w:after="120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438400" cy="1602105"/>
            <wp:effectExtent l="0" t="0" r="0" b="0"/>
            <wp:wrapSquare wrapText="righ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163F59" w:rsidRDefault="00163F59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A914A0">
      <w:pPr>
        <w:spacing w:after="120"/>
        <w:jc w:val="both"/>
        <w:rPr>
          <w:rFonts w:ascii="Times New Roman" w:hAnsi="Times New Roman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2914650</wp:posOffset>
            </wp:positionH>
            <wp:positionV relativeFrom="paragraph">
              <wp:posOffset>440690</wp:posOffset>
            </wp:positionV>
            <wp:extent cx="2673350" cy="174244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F59">
        <w:rPr>
          <w:rFonts w:ascii="Times New Roman" w:hAnsi="Times New Roman" w:cs="Times New Roman"/>
          <w:szCs w:val="24"/>
          <w:lang w:eastAsia="ar-SA"/>
        </w:rPr>
        <w:t xml:space="preserve">Рис. 1: Зависимость сечений процессов </w:t>
      </w:r>
      <w:proofErr w:type="spellStart"/>
      <w:r w:rsidR="00163F59">
        <w:rPr>
          <w:rFonts w:ascii="Times New Roman" w:hAnsi="Times New Roman" w:cs="Times New Roman"/>
          <w:szCs w:val="24"/>
          <w:lang w:eastAsia="ar-SA"/>
        </w:rPr>
        <w:t>e</w:t>
      </w:r>
      <w:r w:rsidR="00163F59">
        <w:rPr>
          <w:rFonts w:ascii="Times New Roman" w:hAnsi="Times New Roman" w:cs="Times New Roman"/>
          <w:szCs w:val="24"/>
          <w:vertAlign w:val="superscript"/>
          <w:lang w:eastAsia="ar-SA"/>
        </w:rPr>
        <w:t>+</w:t>
      </w:r>
      <w:r w:rsidR="00163F59">
        <w:rPr>
          <w:rFonts w:ascii="Times New Roman" w:hAnsi="Times New Roman" w:cs="Times New Roman"/>
          <w:szCs w:val="24"/>
          <w:lang w:eastAsia="ar-SA"/>
        </w:rPr>
        <w:t>e</w:t>
      </w:r>
      <w:proofErr w:type="spellEnd"/>
      <w:r w:rsidR="00163F59">
        <w:rPr>
          <w:rFonts w:ascii="Times New Roman" w:hAnsi="Times New Roman" w:cs="Times New Roman"/>
          <w:szCs w:val="24"/>
          <w:vertAlign w:val="superscript"/>
          <w:lang w:eastAsia="ar-SA"/>
        </w:rPr>
        <w:t>-</w:t>
      </w:r>
      <w:r w:rsidR="00163F59">
        <w:rPr>
          <w:rFonts w:ascii="Times New Roman" w:eastAsia="CMU Sans Serif" w:hAnsi="Times New Roman" w:cs="CMU Sans Serif"/>
          <w:szCs w:val="24"/>
          <w:lang w:eastAsia="ar-SA"/>
        </w:rPr>
        <w:t>→</w:t>
      </w:r>
      <w:proofErr w:type="spellStart"/>
      <w:r w:rsidR="00163F59">
        <w:rPr>
          <w:rFonts w:ascii="Times New Roman" w:hAnsi="Times New Roman" w:cs="Times New Roman"/>
          <w:szCs w:val="24"/>
          <w:lang w:eastAsia="ar-SA"/>
        </w:rPr>
        <w:t>Λ</w:t>
      </w:r>
      <w:r w:rsidR="00163F59">
        <w:rPr>
          <w:rFonts w:ascii="Times New Roman" w:hAnsi="Times New Roman" w:cs="Times New Roman"/>
          <w:szCs w:val="24"/>
          <w:vertAlign w:val="subscript"/>
          <w:lang w:eastAsia="ar-SA"/>
        </w:rPr>
        <w:t>c</w:t>
      </w:r>
      <w:r w:rsidR="00163F59">
        <w:rPr>
          <w:rFonts w:ascii="Times New Roman" w:hAnsi="Times New Roman" w:cs="Times New Roman"/>
          <w:szCs w:val="24"/>
          <w:lang w:eastAsia="ar-SA"/>
        </w:rPr>
        <w:t>Λ</w:t>
      </w:r>
      <w:r w:rsidR="00163F59">
        <w:rPr>
          <w:rFonts w:ascii="Times New Roman" w:hAnsi="Times New Roman" w:cs="Times New Roman"/>
          <w:szCs w:val="24"/>
          <w:vertAlign w:val="subscript"/>
          <w:lang w:eastAsia="ar-SA"/>
        </w:rPr>
        <w:t>c</w:t>
      </w:r>
      <w:proofErr w:type="spellEnd"/>
      <w:r w:rsidR="00163F59">
        <w:rPr>
          <w:rFonts w:ascii="Times New Roman" w:hAnsi="Times New Roman" w:cs="Times New Roman"/>
          <w:szCs w:val="24"/>
          <w:lang w:eastAsia="ar-SA"/>
        </w:rPr>
        <w:t xml:space="preserve"> (слева) и </w:t>
      </w:r>
      <w:proofErr w:type="spellStart"/>
      <w:r w:rsidR="00163F59">
        <w:rPr>
          <w:rFonts w:ascii="Times New Roman" w:hAnsi="Times New Roman" w:cs="Times New Roman"/>
          <w:szCs w:val="24"/>
          <w:lang w:eastAsia="ar-SA"/>
        </w:rPr>
        <w:t>e</w:t>
      </w:r>
      <w:r w:rsidR="00163F59">
        <w:rPr>
          <w:rFonts w:ascii="Times New Roman" w:hAnsi="Times New Roman" w:cs="Times New Roman"/>
          <w:szCs w:val="24"/>
          <w:vertAlign w:val="superscript"/>
          <w:lang w:eastAsia="ar-SA"/>
        </w:rPr>
        <w:t>+</w:t>
      </w:r>
      <w:r w:rsidR="00163F59">
        <w:rPr>
          <w:rFonts w:ascii="Times New Roman" w:hAnsi="Times New Roman" w:cs="Times New Roman"/>
          <w:szCs w:val="24"/>
          <w:lang w:eastAsia="ar-SA"/>
        </w:rPr>
        <w:t>e</w:t>
      </w:r>
      <w:proofErr w:type="spellEnd"/>
      <w:r w:rsidR="00163F59">
        <w:rPr>
          <w:rFonts w:ascii="Times New Roman" w:hAnsi="Times New Roman" w:cs="Times New Roman"/>
          <w:szCs w:val="24"/>
          <w:vertAlign w:val="superscript"/>
          <w:lang w:eastAsia="ar-SA"/>
        </w:rPr>
        <w:t>-</w:t>
      </w:r>
      <w:r w:rsidR="00163F59">
        <w:rPr>
          <w:rFonts w:ascii="Times New Roman" w:eastAsia="CMU Sans Serif" w:hAnsi="Times New Roman" w:cs="CMU Sans Serif"/>
          <w:szCs w:val="24"/>
          <w:lang w:eastAsia="ar-SA"/>
        </w:rPr>
        <w:t>→</w:t>
      </w:r>
      <w:proofErr w:type="spellStart"/>
      <w:r w:rsidR="00163F59">
        <w:rPr>
          <w:rFonts w:ascii="Times New Roman" w:eastAsia="CMU Sans Serif" w:hAnsi="Times New Roman" w:cs="CMU Sans Serif"/>
          <w:szCs w:val="24"/>
          <w:lang w:eastAsia="ar-SA"/>
        </w:rPr>
        <w:t>φ</w:t>
      </w:r>
      <w:r w:rsidR="00163F59">
        <w:rPr>
          <w:rFonts w:ascii="Times New Roman" w:hAnsi="Times New Roman" w:cs="Times New Roman"/>
          <w:szCs w:val="24"/>
          <w:lang w:eastAsia="ar-SA"/>
        </w:rPr>
        <w:t>ΛΛ</w:t>
      </w:r>
      <w:proofErr w:type="spellEnd"/>
      <w:r w:rsidR="00163F59">
        <w:rPr>
          <w:rFonts w:ascii="Times New Roman" w:hAnsi="Times New Roman" w:cs="Times New Roman"/>
          <w:szCs w:val="24"/>
          <w:lang w:eastAsia="ar-SA"/>
        </w:rPr>
        <w:t xml:space="preserve"> (справа) от энергии пары соответствующих гиперонов.</w:t>
      </w:r>
    </w:p>
    <w:p w:rsidR="009D240F" w:rsidRDefault="00163F59">
      <w:pPr>
        <w:spacing w:after="120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673350" cy="170307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9D240F" w:rsidRDefault="009D240F">
      <w:pPr>
        <w:spacing w:after="120"/>
        <w:jc w:val="both"/>
        <w:rPr>
          <w:rFonts w:cs="Times New Roman"/>
          <w:szCs w:val="24"/>
          <w:lang w:eastAsia="ar-SA"/>
        </w:rPr>
      </w:pPr>
    </w:p>
    <w:p w:rsidR="00A914A0" w:rsidRDefault="00A914A0">
      <w:pPr>
        <w:spacing w:after="120"/>
        <w:jc w:val="both"/>
        <w:rPr>
          <w:rFonts w:ascii="Times New Roman" w:hAnsi="Times New Roman" w:cs="Times New Roman"/>
          <w:szCs w:val="24"/>
          <w:lang w:eastAsia="ar-SA"/>
        </w:rPr>
      </w:pPr>
    </w:p>
    <w:p w:rsidR="009D240F" w:rsidRDefault="00163F5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4"/>
          <w:lang w:eastAsia="ar-SA"/>
        </w:rPr>
        <w:t xml:space="preserve">Рис. 2: Зависимость сечений процессов </w:t>
      </w:r>
      <w:proofErr w:type="spellStart"/>
      <w:r>
        <w:rPr>
          <w:rFonts w:ascii="Times New Roman" w:hAnsi="Times New Roman" w:cs="Times New Roman"/>
          <w:szCs w:val="24"/>
          <w:lang w:eastAsia="ar-SA"/>
        </w:rPr>
        <w:t>e</w:t>
      </w:r>
      <w:r>
        <w:rPr>
          <w:rFonts w:ascii="Times New Roman" w:hAnsi="Times New Roman" w:cs="Times New Roman"/>
          <w:szCs w:val="24"/>
          <w:vertAlign w:val="superscript"/>
          <w:lang w:eastAsia="ar-SA"/>
        </w:rPr>
        <w:t>+</w:t>
      </w:r>
      <w:r>
        <w:rPr>
          <w:rFonts w:ascii="Times New Roman" w:hAnsi="Times New Roman" w:cs="Times New Roman"/>
          <w:szCs w:val="24"/>
          <w:lang w:eastAsia="ar-SA"/>
        </w:rPr>
        <w:t>e</w:t>
      </w:r>
      <w:proofErr w:type="spellEnd"/>
      <w:r>
        <w:rPr>
          <w:rFonts w:ascii="Times New Roman" w:hAnsi="Times New Roman" w:cs="Times New Roman"/>
          <w:szCs w:val="24"/>
          <w:vertAlign w:val="superscript"/>
          <w:lang w:eastAsia="ar-SA"/>
        </w:rPr>
        <w:t>-</w:t>
      </w:r>
      <w:r>
        <w:rPr>
          <w:rFonts w:ascii="Times New Roman" w:eastAsia="CMU Sans Serif" w:hAnsi="Times New Roman" w:cs="CMU Sans Serif"/>
          <w:szCs w:val="24"/>
          <w:lang w:eastAsia="ar-SA"/>
        </w:rPr>
        <w:t>→</w:t>
      </w:r>
      <w:proofErr w:type="spellStart"/>
      <w:r>
        <w:rPr>
          <w:rFonts w:ascii="Times New Roman" w:eastAsia="CMU Sans Serif" w:hAnsi="Times New Roman" w:cs="CMU Sans Serif"/>
          <w:szCs w:val="24"/>
          <w:lang w:eastAsia="ar-SA"/>
        </w:rPr>
        <w:t>pp</w:t>
      </w:r>
      <w:proofErr w:type="spellEnd"/>
      <w:r>
        <w:rPr>
          <w:rFonts w:ascii="Times New Roman" w:hAnsi="Times New Roman" w:cs="Times New Roman"/>
          <w:szCs w:val="24"/>
          <w:lang w:eastAsia="ar-SA"/>
        </w:rPr>
        <w:t xml:space="preserve"> (слева) и </w:t>
      </w:r>
      <w:proofErr w:type="spellStart"/>
      <w:r>
        <w:rPr>
          <w:rFonts w:ascii="Times New Roman" w:hAnsi="Times New Roman" w:cs="Times New Roman"/>
          <w:szCs w:val="24"/>
          <w:lang w:eastAsia="ar-SA"/>
        </w:rPr>
        <w:t>e</w:t>
      </w:r>
      <w:r>
        <w:rPr>
          <w:rFonts w:ascii="Times New Roman" w:hAnsi="Times New Roman" w:cs="Times New Roman"/>
          <w:szCs w:val="24"/>
          <w:vertAlign w:val="superscript"/>
          <w:lang w:eastAsia="ar-SA"/>
        </w:rPr>
        <w:t>+</w:t>
      </w:r>
      <w:r>
        <w:rPr>
          <w:rFonts w:ascii="Times New Roman" w:hAnsi="Times New Roman" w:cs="Times New Roman"/>
          <w:szCs w:val="24"/>
          <w:lang w:eastAsia="ar-SA"/>
        </w:rPr>
        <w:t>e</w:t>
      </w:r>
      <w:proofErr w:type="spellEnd"/>
      <w:r>
        <w:rPr>
          <w:rFonts w:ascii="Times New Roman" w:hAnsi="Times New Roman" w:cs="Times New Roman"/>
          <w:szCs w:val="24"/>
          <w:vertAlign w:val="superscript"/>
          <w:lang w:eastAsia="ar-SA"/>
        </w:rPr>
        <w:t>-</w:t>
      </w:r>
      <w:r>
        <w:rPr>
          <w:rFonts w:ascii="Times New Roman" w:eastAsia="CMU Sans Serif" w:hAnsi="Times New Roman" w:cs="CMU Sans Serif"/>
          <w:szCs w:val="24"/>
          <w:lang w:eastAsia="ar-SA"/>
        </w:rPr>
        <w:t>→</w:t>
      </w:r>
      <w:proofErr w:type="spellStart"/>
      <w:r>
        <w:rPr>
          <w:rFonts w:ascii="Times New Roman" w:hAnsi="Times New Roman" w:cs="Times New Roman"/>
          <w:szCs w:val="24"/>
          <w:lang w:eastAsia="ar-SA"/>
        </w:rPr>
        <w:t>nn</w:t>
      </w:r>
      <w:proofErr w:type="spellEnd"/>
      <w:r>
        <w:rPr>
          <w:rFonts w:ascii="Times New Roman" w:hAnsi="Times New Roman" w:cs="Times New Roman"/>
          <w:szCs w:val="24"/>
          <w:lang w:eastAsia="ar-SA"/>
        </w:rPr>
        <w:t xml:space="preserve"> (справа) от энергии.</w:t>
      </w:r>
    </w:p>
    <w:p w:rsidR="00163F59" w:rsidRDefault="00163F59">
      <w:pPr>
        <w:spacing w:after="120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</w:rPr>
        <w:t>Публикации</w:t>
      </w:r>
      <w:r w:rsidRPr="00163F59">
        <w:rPr>
          <w:rFonts w:ascii="Times New Roman" w:hAnsi="Times New Roman" w:cs="Times New Roman"/>
          <w:b/>
          <w:szCs w:val="24"/>
          <w:lang w:val="en-US"/>
        </w:rPr>
        <w:t>:</w:t>
      </w:r>
      <w:r w:rsidRPr="00163F59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163F59" w:rsidRDefault="00163F59">
      <w:pPr>
        <w:spacing w:after="120"/>
        <w:jc w:val="both"/>
        <w:rPr>
          <w:rFonts w:ascii="Times New Roman" w:hAnsi="Times New Roman" w:cs="Times New Roman"/>
          <w:szCs w:val="24"/>
          <w:lang w:val="en-US" w:eastAsia="ar-SA"/>
        </w:rPr>
      </w:pPr>
      <w:r>
        <w:rPr>
          <w:rFonts w:ascii="Times New Roman" w:hAnsi="Times New Roman" w:cs="Times New Roman"/>
          <w:szCs w:val="24"/>
          <w:lang w:val="en-US"/>
        </w:rPr>
        <w:t xml:space="preserve">A.I. </w:t>
      </w:r>
      <w:r>
        <w:rPr>
          <w:rFonts w:ascii="Times New Roman" w:hAnsi="Times New Roman" w:cs="Times New Roman"/>
          <w:szCs w:val="24"/>
          <w:lang w:val="en-US" w:eastAsia="ar-SA"/>
        </w:rPr>
        <w:t xml:space="preserve">Milstein, S.G. Salnikov, Final-state interaction in the process </w:t>
      </w:r>
      <w:proofErr w:type="spellStart"/>
      <w:r>
        <w:rPr>
          <w:rFonts w:ascii="Times New Roman" w:hAnsi="Times New Roman" w:cs="Times New Roman"/>
          <w:szCs w:val="24"/>
          <w:lang w:val="en-US" w:eastAsia="ar-SA"/>
        </w:rPr>
        <w:t>e</w:t>
      </w:r>
      <w:r>
        <w:rPr>
          <w:rFonts w:ascii="Times New Roman" w:hAnsi="Times New Roman" w:cs="Times New Roman"/>
          <w:szCs w:val="24"/>
          <w:vertAlign w:val="superscript"/>
          <w:lang w:val="en-US" w:eastAsia="ar-SA"/>
        </w:rPr>
        <w:t>+</w:t>
      </w:r>
      <w:r>
        <w:rPr>
          <w:rFonts w:ascii="Times New Roman" w:hAnsi="Times New Roman" w:cs="Times New Roman"/>
          <w:szCs w:val="24"/>
          <w:lang w:val="en-US" w:eastAsia="ar-SA"/>
        </w:rPr>
        <w:t>e</w:t>
      </w:r>
      <w:proofErr w:type="spellEnd"/>
      <w:r>
        <w:rPr>
          <w:rFonts w:ascii="Times New Roman" w:hAnsi="Times New Roman" w:cs="Times New Roman"/>
          <w:szCs w:val="24"/>
          <w:vertAlign w:val="superscript"/>
          <w:lang w:val="en-US" w:eastAsia="ar-SA"/>
        </w:rPr>
        <w:t>-</w:t>
      </w:r>
      <w:r>
        <w:rPr>
          <w:rFonts w:ascii="Times New Roman" w:eastAsia="CMU Sans Serif" w:hAnsi="Times New Roman" w:cs="CMU Sans Serif"/>
          <w:szCs w:val="24"/>
          <w:lang w:val="en-US" w:eastAsia="ar-SA"/>
        </w:rPr>
        <w:t>→</w:t>
      </w:r>
      <w:proofErr w:type="spellStart"/>
      <w:r>
        <w:rPr>
          <w:rFonts w:ascii="Times New Roman" w:hAnsi="Times New Roman" w:cs="Times New Roman"/>
          <w:szCs w:val="24"/>
          <w:lang w:val="en-US" w:eastAsia="ar-SA"/>
        </w:rPr>
        <w:t>Λ</w:t>
      </w:r>
      <w:r>
        <w:rPr>
          <w:rFonts w:ascii="Times New Roman" w:hAnsi="Times New Roman" w:cs="Times New Roman"/>
          <w:szCs w:val="24"/>
          <w:vertAlign w:val="subscript"/>
          <w:lang w:val="en-US" w:eastAsia="ar-SA"/>
        </w:rPr>
        <w:t>c</w:t>
      </w:r>
      <w:r>
        <w:rPr>
          <w:rFonts w:ascii="Times New Roman" w:hAnsi="Times New Roman" w:cs="Times New Roman"/>
          <w:szCs w:val="24"/>
          <w:lang w:val="en-US" w:eastAsia="ar-SA"/>
        </w:rPr>
        <w:t>Λ</w:t>
      </w:r>
      <w:r>
        <w:rPr>
          <w:rFonts w:ascii="Times New Roman" w:hAnsi="Times New Roman" w:cs="Times New Roman"/>
          <w:szCs w:val="24"/>
          <w:vertAlign w:val="subscript"/>
          <w:lang w:val="en-US" w:eastAsia="ar-SA"/>
        </w:rPr>
        <w:t>c</w:t>
      </w:r>
      <w:proofErr w:type="spellEnd"/>
      <w:r>
        <w:rPr>
          <w:rFonts w:ascii="Times New Roman" w:hAnsi="Times New Roman" w:cs="Times New Roman"/>
          <w:szCs w:val="24"/>
          <w:lang w:val="en-US" w:eastAsia="ar-SA"/>
        </w:rPr>
        <w:t xml:space="preserve">. Phys. Rev. D 105, 074002 (2022). </w:t>
      </w:r>
    </w:p>
    <w:p w:rsidR="00163F59" w:rsidRDefault="00163F59">
      <w:pPr>
        <w:spacing w:after="120"/>
        <w:jc w:val="both"/>
      </w:pPr>
      <w:r>
        <w:rPr>
          <w:rFonts w:ascii="Times New Roman" w:hAnsi="Times New Roman" w:cs="Times New Roman"/>
          <w:szCs w:val="24"/>
          <w:lang w:val="en-US" w:eastAsia="ar-SA"/>
        </w:rPr>
        <w:t xml:space="preserve">A.I. Milstein, S.G. Salnikov, Invariant-mass spectrum of ΛΛ pair in the process </w:t>
      </w:r>
      <w:proofErr w:type="spellStart"/>
      <w:r>
        <w:rPr>
          <w:rFonts w:ascii="Times New Roman" w:hAnsi="Times New Roman" w:cs="Times New Roman"/>
          <w:szCs w:val="24"/>
          <w:lang w:val="en-US" w:eastAsia="ar-SA"/>
        </w:rPr>
        <w:t>e</w:t>
      </w:r>
      <w:r>
        <w:rPr>
          <w:rFonts w:ascii="Times New Roman" w:hAnsi="Times New Roman" w:cs="Times New Roman"/>
          <w:szCs w:val="24"/>
          <w:vertAlign w:val="superscript"/>
          <w:lang w:val="en-US" w:eastAsia="ar-SA"/>
        </w:rPr>
        <w:t>+</w:t>
      </w:r>
      <w:r>
        <w:rPr>
          <w:rFonts w:ascii="Times New Roman" w:hAnsi="Times New Roman" w:cs="Times New Roman"/>
          <w:szCs w:val="24"/>
          <w:lang w:val="en-US" w:eastAsia="ar-SA"/>
        </w:rPr>
        <w:t>e</w:t>
      </w:r>
      <w:proofErr w:type="spellEnd"/>
      <w:r>
        <w:rPr>
          <w:rFonts w:ascii="Times New Roman" w:hAnsi="Times New Roman" w:cs="Times New Roman"/>
          <w:szCs w:val="24"/>
          <w:vertAlign w:val="superscript"/>
          <w:lang w:val="en-US" w:eastAsia="ar-SA"/>
        </w:rPr>
        <w:t>-</w:t>
      </w:r>
      <w:r>
        <w:rPr>
          <w:rFonts w:ascii="Times New Roman" w:eastAsia="CMU Sans Serif" w:hAnsi="Times New Roman" w:cs="CMU Sans Serif"/>
          <w:szCs w:val="24"/>
          <w:lang w:val="en-US" w:eastAsia="ar-SA"/>
        </w:rPr>
        <w:t>→</w:t>
      </w:r>
      <w:proofErr w:type="spellStart"/>
      <w:r>
        <w:rPr>
          <w:rFonts w:ascii="Times New Roman" w:eastAsia="CMU Sans Serif" w:hAnsi="Times New Roman" w:cs="CMU Sans Serif"/>
          <w:szCs w:val="24"/>
          <w:lang w:val="en-US" w:eastAsia="ar-SA"/>
        </w:rPr>
        <w:t>φ</w:t>
      </w:r>
      <w:r>
        <w:rPr>
          <w:rFonts w:ascii="Times New Roman" w:hAnsi="Times New Roman" w:cs="Times New Roman"/>
          <w:szCs w:val="24"/>
          <w:lang w:val="en-US" w:eastAsia="ar-SA"/>
        </w:rPr>
        <w:t>ΛΛ</w:t>
      </w:r>
      <w:proofErr w:type="spellEnd"/>
      <w:r>
        <w:rPr>
          <w:rFonts w:ascii="Times New Roman" w:hAnsi="Times New Roman" w:cs="Times New Roman"/>
          <w:szCs w:val="24"/>
          <w:lang w:val="en-US" w:eastAsia="ar-SA"/>
        </w:rPr>
        <w:t xml:space="preserve">. </w:t>
      </w:r>
      <w:r>
        <w:rPr>
          <w:rFonts w:ascii="Times New Roman" w:hAnsi="Times New Roman"/>
          <w:lang w:val="en-US"/>
        </w:rPr>
        <w:t>Phys. Rev. D. 105, L031501 (2022)</w:t>
      </w:r>
      <w:r>
        <w:rPr>
          <w:rFonts w:ascii="Times New Roman" w:hAnsi="Times New Roman" w:cs="Times New Roman"/>
          <w:szCs w:val="24"/>
          <w:lang w:val="en-US" w:eastAsia="ar-SA"/>
        </w:rPr>
        <w:t xml:space="preserve">. A.I. Milstein, S.G. Salnikov, NN production in </w:t>
      </w:r>
      <w:proofErr w:type="spellStart"/>
      <w:r>
        <w:rPr>
          <w:rFonts w:ascii="Times New Roman" w:hAnsi="Times New Roman" w:cs="Times New Roman"/>
          <w:szCs w:val="24"/>
          <w:lang w:val="en-US" w:eastAsia="ar-SA"/>
        </w:rPr>
        <w:t>e</w:t>
      </w:r>
      <w:r>
        <w:rPr>
          <w:rFonts w:ascii="Times New Roman" w:hAnsi="Times New Roman" w:cs="Times New Roman"/>
          <w:szCs w:val="24"/>
          <w:vertAlign w:val="superscript"/>
          <w:lang w:val="en-US" w:eastAsia="ar-SA"/>
        </w:rPr>
        <w:t>+</w:t>
      </w:r>
      <w:r>
        <w:rPr>
          <w:rFonts w:ascii="Times New Roman" w:hAnsi="Times New Roman" w:cs="Times New Roman"/>
          <w:szCs w:val="24"/>
          <w:lang w:val="en-US" w:eastAsia="ar-SA"/>
        </w:rPr>
        <w:t>e</w:t>
      </w:r>
      <w:proofErr w:type="spellEnd"/>
      <w:r>
        <w:rPr>
          <w:rFonts w:ascii="Times New Roman" w:hAnsi="Times New Roman" w:cs="Times New Roman"/>
          <w:szCs w:val="24"/>
          <w:vertAlign w:val="superscript"/>
          <w:lang w:val="en-US" w:eastAsia="ar-SA"/>
        </w:rPr>
        <w:t>-</w:t>
      </w:r>
      <w:r>
        <w:rPr>
          <w:rFonts w:ascii="Times New Roman" w:hAnsi="Times New Roman" w:cs="Times New Roman"/>
          <w:szCs w:val="24"/>
          <w:lang w:val="en-US" w:eastAsia="ar-SA"/>
        </w:rPr>
        <w:t xml:space="preserve"> annihilation near the threshold revisited. </w:t>
      </w:r>
      <w:r>
        <w:rPr>
          <w:rFonts w:ascii="Times New Roman" w:hAnsi="Times New Roman"/>
          <w:lang w:val="en-US"/>
        </w:rPr>
        <w:t>Phys</w:t>
      </w:r>
      <w:r w:rsidRPr="00A914A0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Rev</w:t>
      </w:r>
      <w:r w:rsidRPr="00A914A0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D</w:t>
      </w:r>
      <w:r w:rsidRPr="00A914A0">
        <w:rPr>
          <w:rFonts w:ascii="Times New Roman" w:hAnsi="Times New Roman"/>
        </w:rPr>
        <w:t>. 106, 074012 (2022)</w:t>
      </w:r>
      <w:r w:rsidRPr="00A914A0">
        <w:rPr>
          <w:rFonts w:ascii="Times New Roman" w:hAnsi="Times New Roman" w:cs="Times New Roman"/>
          <w:szCs w:val="24"/>
          <w:lang w:eastAsia="ar-SA"/>
        </w:rPr>
        <w:t>.</w:t>
      </w:r>
    </w:p>
    <w:p w:rsidR="009D240F" w:rsidRDefault="00163F59">
      <w:pPr>
        <w:spacing w:after="0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Cs w:val="24"/>
          <w:lang w:eastAsia="ar-SA"/>
        </w:rPr>
        <w:lastRenderedPageBreak/>
        <w:t>Направление Программы фундаментальных научных исследований: 1.3.3.1. Физика элементарных частиц и фундаментальных взаимодействий.</w:t>
      </w:r>
    </w:p>
    <w:p w:rsidR="007C6B49" w:rsidRDefault="007C6B49">
      <w:pPr>
        <w:spacing w:after="0"/>
        <w:jc w:val="both"/>
      </w:pPr>
      <w:r>
        <w:rPr>
          <w:rFonts w:ascii="Times New Roman" w:hAnsi="Times New Roman" w:cs="Times New Roman"/>
          <w:szCs w:val="24"/>
          <w:lang w:eastAsia="ar-SA"/>
        </w:rPr>
        <w:t>Государственное задание, тема № 1.3.3.1</w:t>
      </w:r>
      <w:r w:rsidRPr="00F02879">
        <w:rPr>
          <w:rFonts w:ascii="Times New Roman" w:hAnsi="Times New Roman" w:cs="Times New Roman"/>
          <w:szCs w:val="24"/>
          <w:lang w:eastAsia="ar-SA"/>
        </w:rPr>
        <w:t>.</w:t>
      </w:r>
      <w:r>
        <w:rPr>
          <w:rFonts w:ascii="Times New Roman" w:hAnsi="Times New Roman" w:cs="Times New Roman"/>
          <w:szCs w:val="24"/>
          <w:lang w:eastAsia="ar-SA"/>
        </w:rPr>
        <w:t>4 Развитие и применение методов теоретической физики в ФЭЧ и космологии (</w:t>
      </w:r>
      <w:r>
        <w:rPr>
          <w:rFonts w:ascii="Times New Roman" w:hAnsi="Times New Roman" w:cs="Times New Roman"/>
          <w:szCs w:val="24"/>
          <w:lang w:val="en-US" w:eastAsia="ar-SA"/>
        </w:rPr>
        <w:t>FWGM</w:t>
      </w:r>
      <w:r>
        <w:rPr>
          <w:rFonts w:ascii="Times New Roman" w:hAnsi="Times New Roman" w:cs="Times New Roman"/>
          <w:szCs w:val="24"/>
          <w:lang w:eastAsia="ar-SA"/>
        </w:rPr>
        <w:t>-2022-00</w:t>
      </w:r>
      <w:bookmarkStart w:id="0" w:name="_GoBack"/>
      <w:bookmarkEnd w:id="0"/>
      <w:r>
        <w:rPr>
          <w:rFonts w:ascii="Times New Roman" w:hAnsi="Times New Roman" w:cs="Times New Roman"/>
          <w:szCs w:val="24"/>
          <w:lang w:eastAsia="ar-SA"/>
        </w:rPr>
        <w:t>04)</w:t>
      </w:r>
    </w:p>
    <w:sectPr w:rsidR="007C6B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MU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U Sans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240F"/>
    <w:rsid w:val="00163F59"/>
    <w:rsid w:val="007C6B49"/>
    <w:rsid w:val="009D240F"/>
    <w:rsid w:val="00A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564EE-533C-4D71-87AE-5533A931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MU Serif" w:eastAsiaTheme="minorHAnsi" w:hAnsi="CMU Serif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CMU Sans Serif" w:eastAsia="Noto Sans CJK SC" w:hAnsi="CMU Sans Serif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3844FC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table" w:styleId="ac">
    <w:name w:val="Table Grid"/>
    <w:basedOn w:val="a1"/>
    <w:uiPriority w:val="59"/>
    <w:rsid w:val="007C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275</Words>
  <Characters>1574</Characters>
  <Application>Microsoft Office Word</Application>
  <DocSecurity>0</DocSecurity>
  <Lines>13</Lines>
  <Paragraphs>3</Paragraphs>
  <ScaleCrop>false</ScaleCrop>
  <Company>NSU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</dc:creator>
  <dc:description/>
  <cp:lastModifiedBy>Aleksey V. Reznichenko</cp:lastModifiedBy>
  <cp:revision>48</cp:revision>
  <cp:lastPrinted>2018-11-22T04:41:00Z</cp:lastPrinted>
  <dcterms:created xsi:type="dcterms:W3CDTF">2018-11-22T02:20:00Z</dcterms:created>
  <dcterms:modified xsi:type="dcterms:W3CDTF">2022-12-08T06:08:00Z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