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1B0AEB" w:rsidRPr="001B0A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Прецизионное измерение </w:t>
      </w:r>
      <w:proofErr w:type="gramStart"/>
      <w:r w:rsidR="001B0AEB" w:rsidRPr="001B0A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сечения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222222"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val="en-US" w:eastAsia="ru-RU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222222"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val="en-US" w:eastAsia="ru-RU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→</m:t>
        </m:r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222222"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val="en-US" w:eastAsia="ru-RU"/>
              </w:rPr>
              <m:t>π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222222"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val="en-US" w:eastAsia="ru-RU"/>
              </w:rPr>
              <m:t>π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</m:oMath>
      <w:r w:rsidR="001B0AEB" w:rsidRPr="001B0A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</w:t>
      </w:r>
      <w:proofErr w:type="gramEnd"/>
      <w:r w:rsidR="001B0AEB" w:rsidRPr="001B0A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детектором КМД-3 на </w:t>
      </w:r>
      <w:proofErr w:type="spellStart"/>
      <w:r w:rsidR="001B0AEB" w:rsidRPr="001B0A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коллайдере</w:t>
      </w:r>
      <w:proofErr w:type="spellEnd"/>
      <w:r w:rsidR="001B0AEB" w:rsidRPr="001B0A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ВЭПП-2000 показало согласие между измеренным значением аномального магнитного момента мюона и предсказанием Стандартной модели</w:t>
      </w:r>
    </w:p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Будкера СО РАН</w:t>
      </w:r>
    </w:p>
    <w:p w:rsidR="00A0501B" w:rsidRDefault="005C76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Авторы: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коллаборация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КМД-3</w:t>
      </w:r>
      <w:r w:rsidR="009C3B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B7B2A" w:rsidRDefault="009C3B5A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В</w:t>
      </w:r>
      <w:r w:rsidR="005C76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эксперименте с детектором КМД-3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на</w:t>
      </w:r>
      <w:r w:rsidR="005C76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5C76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коллайдере</w:t>
      </w:r>
      <w:proofErr w:type="spellEnd"/>
      <w:r w:rsidR="005C76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ВЭПП-2000 измерено сечение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процесса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→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</m:oMath>
      <w:r w:rsidR="005C76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</w:t>
      </w:r>
      <w:proofErr w:type="gramEnd"/>
      <w:r w:rsidR="005C76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области энергии от 320 до 1200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МэВ</w:t>
      </w:r>
      <w:r w:rsidR="000C6A7A" w:rsidRPr="000C6A7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C76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Результат основан на рекордном </w:t>
      </w:r>
      <w:r w:rsidR="001B0A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мире </w:t>
      </w:r>
      <w:r w:rsidR="005C76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объеме экспериментальной статистики, набранной в период с 2013 по 2020 гг. </w:t>
      </w:r>
      <w:r w:rsidR="009005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подтверждения измерения проведено сравнение результатов, полученных при </w:t>
      </w:r>
      <w:r w:rsidR="001B7B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использовании независимых методов анализа данных, а также в области энергий ниже 750 МэВ проведено измерение и сравнение с теоретическим предсказание </w:t>
      </w:r>
      <w:r w:rsid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сечения </w:t>
      </w:r>
      <w:proofErr w:type="gramStart"/>
      <w:r w:rsid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процесса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→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μ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μ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</m:oMath>
      <w:r w:rsid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  <w:proofErr w:type="gramEnd"/>
      <w:r w:rsid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 области максимума </w:t>
      </w:r>
      <w:proofErr w:type="gramStart"/>
      <w:r w:rsid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резонанса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ρ(770)</m:t>
        </m:r>
      </m:oMath>
      <w:r w:rsidR="001B7B2A" w:rsidRP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достигнута</w:t>
      </w:r>
      <w:proofErr w:type="gramEnd"/>
      <w:r w:rsid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систематическая ошибка 0.7%. Впервые проведено детальное измерение сечения </w:t>
      </w:r>
      <w:proofErr w:type="gramStart"/>
      <w:r w:rsid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процесса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→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</m:oMath>
      <w:r w:rsid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</w:t>
      </w:r>
      <w:proofErr w:type="gramEnd"/>
      <w:r w:rsid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области резонанса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φ(1019)</m:t>
        </m:r>
      </m:oMath>
      <w:r w:rsidR="001B7B2A" w:rsidRP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:rsidR="00A0501B" w:rsidRDefault="001B0AEB" w:rsidP="001B0AEB">
      <w:pPr>
        <w:spacing w:line="276" w:lineRule="auto"/>
        <w:ind w:firstLine="708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1B0A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Процесс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→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</m:oMath>
      <w:r w:rsidRPr="001B0A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определяет</w:t>
      </w:r>
      <w:proofErr w:type="gramEnd"/>
      <w:r w:rsidRPr="001B0A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вклад сильных взаимодействий в аномальный магнитный момент мюона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Cambria Math"/>
                <w:color w:val="222222"/>
                <w:sz w:val="24"/>
                <w:szCs w:val="24"/>
                <w:lang w:eastAsia="ru-RU"/>
              </w:rPr>
              <m:t>a</m:t>
            </m:r>
            <m:ctrlPr>
              <w:rPr>
                <w:rFonts w:ascii="Cambria Math" w:eastAsia="Times New Roman" w:hAnsi="Cambria Math" w:cs="Cambria Math"/>
                <w:bCs/>
                <w:i/>
                <w:color w:val="222222"/>
                <w:sz w:val="24"/>
                <w:szCs w:val="24"/>
                <w:lang w:eastAsia="ru-RU"/>
              </w:rPr>
            </m:ctrlPr>
          </m:e>
          <m:sub>
            <m:r>
              <w:rPr>
                <w:rFonts w:ascii="Cambria Math" w:eastAsia="Times New Roman" w:hAnsi="Cambria Math" w:cs="Cambria Math"/>
                <w:color w:val="222222"/>
                <w:sz w:val="24"/>
                <w:szCs w:val="24"/>
                <w:lang w:eastAsia="ru-RU"/>
              </w:rPr>
              <m:t>μ</m:t>
            </m:r>
          </m:sub>
        </m:sSub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.</m:t>
        </m:r>
      </m:oMath>
      <w:r w:rsidRPr="001B0A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При использовании результата КМД-3, предсказание Стандартной модели для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Cambria Math"/>
                <w:color w:val="222222"/>
                <w:sz w:val="24"/>
                <w:szCs w:val="24"/>
                <w:lang w:eastAsia="ru-RU"/>
              </w:rPr>
              <m:t>a</m:t>
            </m:r>
            <m:ctrlPr>
              <w:rPr>
                <w:rFonts w:ascii="Cambria Math" w:eastAsia="Times New Roman" w:hAnsi="Cambria Math" w:cs="Cambria Math"/>
                <w:bCs/>
                <w:i/>
                <w:color w:val="222222"/>
                <w:sz w:val="24"/>
                <w:szCs w:val="24"/>
                <w:lang w:eastAsia="ru-RU"/>
              </w:rPr>
            </m:ctrlPr>
          </m:e>
          <m:sub>
            <m:r>
              <w:rPr>
                <w:rFonts w:ascii="Cambria Math" w:eastAsia="Times New Roman" w:hAnsi="Cambria Math" w:cs="Cambria Math"/>
                <w:color w:val="222222"/>
                <w:sz w:val="24"/>
                <w:szCs w:val="24"/>
                <w:lang w:eastAsia="ru-RU"/>
              </w:rPr>
              <m:t>μ</m:t>
            </m:r>
          </m:sub>
        </m:sSub>
      </m:oMath>
      <w:r w:rsidRPr="001B0A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согласуется с наблюдаемым в эксперименте значением в преде</w:t>
      </w:r>
      <w:r w:rsidR="002C6E0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лах 0.9 стандартных отклонений.</w:t>
      </w:r>
      <w:bookmarkStart w:id="0" w:name="_GoBack"/>
      <w:bookmarkEnd w:id="0"/>
      <w:r w:rsidRPr="001B0A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При использовании предыдущих измерений </w:t>
      </w:r>
      <w:proofErr w:type="gramStart"/>
      <w:r w:rsidRPr="001B0A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сечения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→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</m:oMath>
      <w:r w:rsidRPr="001B0A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наблюдалась</w:t>
      </w:r>
      <w:proofErr w:type="gramEnd"/>
      <w:r w:rsidRPr="001B0A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разница между экспериментом и предсказанием СМ в 5 стандартных отклонений.</w:t>
      </w:r>
      <w:r w:rsidR="00A973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 </w:t>
      </w:r>
    </w:p>
    <w:p w:rsidR="00A0501B" w:rsidRDefault="001B0AEB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63.5pt">
            <v:imagedata r:id="rId5" o:title="Скриншот 2023-11-14 19.22"/>
          </v:shape>
        </w:pict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644410" cy="2094230"/>
            <wp:effectExtent l="0" t="0" r="3810" b="1270"/>
            <wp:docPr id="5" name="Рисунок 5" descr="C:\Users\ivanl\AppData\Local\Microsoft\Windows\INetCache\Content.Word\Screenshot 2023-11-26 200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ivanl\AppData\Local\Microsoft\Windows\INetCache\Content.Word\Screenshot 2023-11-26 2005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12" cy="212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AEB" w:rsidRDefault="001B0AEB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B0AEB">
        <w:rPr>
          <w:rFonts w:ascii="Times New Roman" w:eastAsia="Times New Roman" w:hAnsi="Times New Roman" w:cs="Times New Roman"/>
          <w:noProof/>
          <w:color w:val="222222"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802F2F" wp14:editId="089EE14A">
                <wp:simplePos x="0" y="0"/>
                <wp:positionH relativeFrom="margin">
                  <wp:posOffset>3195955</wp:posOffset>
                </wp:positionH>
                <wp:positionV relativeFrom="paragraph">
                  <wp:posOffset>6350</wp:posOffset>
                </wp:positionV>
                <wp:extent cx="2809875" cy="1404620"/>
                <wp:effectExtent l="0" t="0" r="9525" b="762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AEB" w:rsidRPr="001B0AEB" w:rsidRDefault="001B0AEB" w:rsidP="002C6E06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  <w:t>Рисунок 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  <w:t xml:space="preserve">: 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Сравнение величины аномального магнитного моменте </w:t>
                            </w:r>
                            <w:proofErr w:type="gramStart"/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мюона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0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val="en-US"/>
                                    </w:rPr>
                                    <m:t>μ</m:t>
                                  </m:r>
                                </m:sub>
                              </m:sSub>
                            </m:oMath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</w:t>
                            </w:r>
                            <w:proofErr w:type="gramEnd"/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измеренной в эксперименте, с предсказанием Стандартной модели. Красный цвет – измеренное </w:t>
                            </w:r>
                            <w:proofErr w:type="gramStart"/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значение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0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val="en-US"/>
                                    </w:rPr>
                                    <m:t>μ</m:t>
                                  </m:r>
                                </m:sub>
                              </m:sSub>
                            </m:oMath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  <w:proofErr w:type="gramEnd"/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Черный цвет – предсказание Стандартной модели: слева – с использованием предыдущих измерений сечения 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e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  <w:vertAlign w:val="superscript"/>
                              </w:rPr>
                              <w:t>+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e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  <w:vertAlign w:val="superscript"/>
                              </w:rPr>
                              <w:t>-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→ 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π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  <w:vertAlign w:val="superscript"/>
                              </w:rPr>
                              <w:t>+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π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  <w:vertAlign w:val="superscript"/>
                              </w:rPr>
                              <w:t>-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справа – с использованием измерения КМД-3 вместо предыдущих измерений.</w:t>
                            </w:r>
                          </w:p>
                          <w:p w:rsidR="001B0AEB" w:rsidRDefault="001B0AEB" w:rsidP="002C6E0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802F2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1.65pt;margin-top:.5pt;width:22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tQOQIAACIEAAAOAAAAZHJzL2Uyb0RvYy54bWysU0tu2zAQ3RfoHQjua8mCndiC5SB16qJA&#10;+gHSHoCiKIsoxWFJ2lK66z5X6B266KK7XsG5UYeU4xjprigXxJAzfJx582Zx0beK7IR1EnRBx6OU&#10;EqE5VFJvCvrp4/rFjBLnma6YAi0KeiscvVg+f7boTC4yaEBVwhIE0S7vTEEb702eJI43omVuBEZo&#10;dNZgW+bxaDdJZVmH6K1KsjQ9SzqwlbHAhXN4ezU46TLi17Xg/n1dO+GJKijm5uNu416GPVkuWL6x&#10;zDSSH9Jg/5BFy6TGT49QV8wzsrXyL6hWcgsOaj/i0CZQ15KLWANWM06fVHPTMCNiLUiOM0ea3P+D&#10;5e92HyyRVUEnlGjWYov23/c/9j/3v/e/7r/d35EscNQZl2PojcFg37+EHnsd63XmGvhnRzSsGqY3&#10;4tJa6BrBKsxxHF4mJ08HHBdAyu4tVPgZ23qIQH1t20AgUkIQHXt1e+yP6D3heJnN0vnsfEoJR994&#10;kk7OstjBhOUPz411/rWAlgSjoBYFEOHZ7tr5kA7LH0LCbw6UrNZSqXiwm3KlLNkxFMs6rljBkzCl&#10;SVfQ+TSbRmQN4X3UUSs9ilnJtqCzNKxBXoGOV7qKIZ5JNdiYidIHfgIlAzm+L3sMDKSVUN0iUxYG&#10;0eKQodGA/UpJh4ItqPuyZVZQot5oZHs+nkyCwuNhMj1Haog99ZSnHqY5QhXUUzKYKx+nIvJgLrEr&#10;axn5eszkkCsKMdJ4GJqg9NNzjHoc7eUfAAAA//8DAFBLAwQUAAYACAAAACEA2wmU2dwAAAAJAQAA&#10;DwAAAGRycy9kb3ducmV2LnhtbEyPwU7DMBBE70j8g7VI3KhDSxANcaqKigsHJAoSPbrxJo6I15bt&#10;puHvWU6wt9GMZt/Um9mNYsKYBk8KbhcFCKTWm4F6BR/vzzcPIFLWZPToCRV8Y4JNc3lR68r4M73h&#10;tM+94BJKlVZgcw6VlKm16HRa+IDEXuej05ll7KWJ+szlbpTLoriXTg/EH6wO+GSx/dqfnIJPZwez&#10;i6+HzozT7qXblmGOQanrq3n7CCLjnP/C8IvP6NAw09GfyCQxKiiL1YqjbPAk9td3JU85KljygWxq&#10;+X9B8wMAAP//AwBQSwECLQAUAAYACAAAACEAtoM4kv4AAADhAQAAEwAAAAAAAAAAAAAAAAAAAAAA&#10;W0NvbnRlbnRfVHlwZXNdLnhtbFBLAQItABQABgAIAAAAIQA4/SH/1gAAAJQBAAALAAAAAAAAAAAA&#10;AAAAAC8BAABfcmVscy8ucmVsc1BLAQItABQABgAIAAAAIQAuoytQOQIAACIEAAAOAAAAAAAAAAAA&#10;AAAAAC4CAABkcnMvZTJvRG9jLnhtbFBLAQItABQABgAIAAAAIQDbCZTZ3AAAAAkBAAAPAAAAAAAA&#10;AAAAAAAAAJMEAABkcnMvZG93bnJldi54bWxQSwUGAAAAAAQABADzAAAAnAUAAAAA&#10;" stroked="f">
                <v:textbox style="mso-fit-shape-to-text:t">
                  <w:txbxContent>
                    <w:p w:rsidR="001B0AEB" w:rsidRPr="001B0AEB" w:rsidRDefault="001B0AEB" w:rsidP="002C6E06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  <w:t>Рисунок 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  <w:t xml:space="preserve">: 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 xml:space="preserve">Сравнение величины аномального магнитного моменте </w:t>
                      </w:r>
                      <w:proofErr w:type="gramStart"/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 xml:space="preserve">мюона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lang w:val="en-US"/>
                              </w:rPr>
                              <m:t>μ</m:t>
                            </m:r>
                          </m:sub>
                        </m:sSub>
                      </m:oMath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>,</w:t>
                      </w:r>
                      <w:proofErr w:type="gramEnd"/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 xml:space="preserve"> измеренной в эксперименте, с предсказанием Стандартной модели. Красный цвет – измеренное </w:t>
                      </w:r>
                      <w:proofErr w:type="gramStart"/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 xml:space="preserve">значение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lang w:val="en-US"/>
                              </w:rPr>
                              <m:t>μ</m:t>
                            </m:r>
                          </m:sub>
                        </m:sSub>
                      </m:oMath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  <w:proofErr w:type="gramEnd"/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 xml:space="preserve"> Черный цвет – предсказание Стандартной модели: слева – с использованием предыдущих измерений сечения 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e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  <w:vertAlign w:val="superscript"/>
                        </w:rPr>
                        <w:t>+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e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  <w:vertAlign w:val="superscript"/>
                        </w:rPr>
                        <w:t>-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 xml:space="preserve"> → 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π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  <w:vertAlign w:val="superscript"/>
                        </w:rPr>
                        <w:t>+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π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  <w:vertAlign w:val="superscript"/>
                        </w:rPr>
                        <w:t>-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>, справа – с использованием измерения КМД-3 вместо предыдущих измерений.</w:t>
                      </w:r>
                    </w:p>
                    <w:p w:rsidR="001B0AEB" w:rsidRDefault="001B0AEB" w:rsidP="002C6E06"/>
                  </w:txbxContent>
                </v:textbox>
                <w10:wrap type="square" anchorx="margin"/>
              </v:shape>
            </w:pict>
          </mc:Fallback>
        </mc:AlternateContent>
      </w:r>
      <w:r w:rsidRPr="001B0AEB">
        <w:rPr>
          <w:rFonts w:ascii="Times New Roman" w:eastAsia="Times New Roman" w:hAnsi="Times New Roman" w:cs="Times New Roman"/>
          <w:noProof/>
          <w:color w:val="222222"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15875</wp:posOffset>
                </wp:positionV>
                <wp:extent cx="25622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AEB" w:rsidRDefault="001B0AEB"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  <w:t xml:space="preserve">Рисунок 1: 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eastAsia="ru-RU"/>
                              </w:rPr>
                              <w:t xml:space="preserve">Зависимость сечения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eastAsia="ru-RU"/>
                              </w:rPr>
                              <w:t xml:space="preserve">процесса 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US" w:eastAsia="ru-RU"/>
                              </w:rPr>
                              <w:t>e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vertAlign w:val="superscript"/>
                                <w:lang w:eastAsia="ru-RU"/>
                              </w:rPr>
                              <w:t>+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US" w:eastAsia="ru-RU"/>
                              </w:rPr>
                              <w:t>e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vertAlign w:val="superscript"/>
                                <w:lang w:eastAsia="ru-RU"/>
                              </w:rPr>
                              <w:t>-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eastAsia="ru-RU"/>
                              </w:rPr>
                              <w:t xml:space="preserve"> → 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US" w:eastAsia="ru-RU"/>
                              </w:rPr>
                              <w:t>π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vertAlign w:val="superscript"/>
                                <w:lang w:eastAsia="ru-RU"/>
                              </w:rPr>
                              <w:t>+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US" w:eastAsia="ru-RU"/>
                              </w:rPr>
                              <w:t>π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vertAlign w:val="superscript"/>
                                <w:lang w:eastAsia="ru-RU"/>
                              </w:rPr>
                              <w:t>-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eastAsia="ru-RU"/>
                              </w:rPr>
                              <w:t xml:space="preserve"> от энергии,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eastAsia="ru-RU"/>
                              </w:rPr>
                              <w:t xml:space="preserve"> измеренная КМД-3.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.9pt;margin-top:1.25pt;width:20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swRPAIAACsEAAAOAAAAZHJzL2Uyb0RvYy54bWysU0tu2zAQ3RfoHQjua31gO4lgOUiduiiQ&#10;foC0B6ApyiJKcViStuTuus8VeocuuuiuV3Bu1CHlOEa6K6oFQWpmHt+8eZxd9q0iW2GdBF3SbJRS&#10;IjSHSup1ST99XL44p8R5piumQIuS7oSjl/Pnz2adKUQODahKWIIg2hWdKWnjvSmSxPFGtMyNwAiN&#10;wRpsyzwe7TqpLOsQvVVJnqbTpANbGQtcOId/r4cgnUf8uhbcv69rJzxRJUVuPq42rquwJvMZK9aW&#10;mUbyAw32DyxaJjVeeoS6Zp6RjZV/QbWSW3BQ+xGHNoG6llzEHrCbLH3SzW3DjIi9oDjOHGVy/w+W&#10;v9t+sERWJc2zM0o0a3FI++/7H/uf+9/7X/ff7u9IHlTqjCsw+dZguu9fQo/Tjh07cwP8syMaFg3T&#10;a3FlLXSNYBWyzEJlclI64LgAsureQoWXsY2HCNTXtg0SoigE0XFau+OERO8Jx5/5ZJrn+YQSjrFs&#10;nI6neZxhwoqHcmOdfy2gJWFTUosWiPBse+N8oMOKh5RwmwMlq6VUKh7serVQlmwZ2mUZv9jBkzSl&#10;SVfSiwkSCVUaQn10Uis92lnJtqTnafgGgwU5Xukqpngm1bBHJkof9AmSDOL4ftXHgUTxgnYrqHYo&#10;mIXBvfjacNOA/UpJh84tqfuyYVZQot5oFP0iG4+D1eNhPDlDhYg9jaxOI0xzhCqpp2TYLnx8HlEO&#10;c4XDWcoo2yOTA2V0ZFTz8HqC5U/PMevxjc//AAAA//8DAFBLAwQUAAYACAAAACEAzcTTnd0AAAAI&#10;AQAADwAAAGRycy9kb3ducmV2LnhtbEyPMU/DMBSEdyT+g/WQ2KjTlLQoxKkqKhYGJAoSjG78EkfY&#10;z5btpuHfYyY6nu50912zna1hE4Y4OhKwXBTAkDqnRhoEfLw/3z0Ai0mSksYRCvjBCNv2+qqRtXJn&#10;esPpkAaWSyjWUoBOydecx06jlXHhPFL2ehesTFmGgasgz7ncGl4WxZpbOVJe0NLjk8bu+3CyAj6t&#10;HtU+vH71ykz7l35X+Tl4IW5v5t0jsIRz+g/DH35GhzYzHd2JVGRGQLXJ5ElAWQHL9v16uQJ2zLpc&#10;bYC3Db880P4CAAD//wMAUEsBAi0AFAAGAAgAAAAhALaDOJL+AAAA4QEAABMAAAAAAAAAAAAAAAAA&#10;AAAAAFtDb250ZW50X1R5cGVzXS54bWxQSwECLQAUAAYACAAAACEAOP0h/9YAAACUAQAACwAAAAAA&#10;AAAAAAAAAAAvAQAAX3JlbHMvLnJlbHNQSwECLQAUAAYACAAAACEA+57METwCAAArBAAADgAAAAAA&#10;AAAAAAAAAAAuAgAAZHJzL2Uyb0RvYy54bWxQSwECLQAUAAYACAAAACEAzcTTnd0AAAAIAQAADwAA&#10;AAAAAAAAAAAAAACWBAAAZHJzL2Rvd25yZXYueG1sUEsFBgAAAAAEAAQA8wAAAKAFAAAAAA==&#10;" stroked="f">
                <v:textbox style="mso-fit-shape-to-text:t">
                  <w:txbxContent>
                    <w:p w:rsidR="001B0AEB" w:rsidRDefault="001B0AEB"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  <w:t xml:space="preserve">Рисунок 1: 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eastAsia="ru-RU"/>
                        </w:rPr>
                        <w:t xml:space="preserve">Зависимость сечения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eastAsia="ru-RU"/>
                        </w:rPr>
                        <w:t xml:space="preserve">процесса 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val="en-US" w:eastAsia="ru-RU"/>
                        </w:rPr>
                        <w:t>e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vertAlign w:val="superscript"/>
                          <w:lang w:eastAsia="ru-RU"/>
                        </w:rPr>
                        <w:t>+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val="en-US" w:eastAsia="ru-RU"/>
                        </w:rPr>
                        <w:t>e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vertAlign w:val="superscript"/>
                          <w:lang w:eastAsia="ru-RU"/>
                        </w:rPr>
                        <w:t>-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eastAsia="ru-RU"/>
                        </w:rPr>
                        <w:t xml:space="preserve"> → 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val="en-US" w:eastAsia="ru-RU"/>
                        </w:rPr>
                        <w:t>π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vertAlign w:val="superscript"/>
                          <w:lang w:eastAsia="ru-RU"/>
                        </w:rPr>
                        <w:t>+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val="en-US" w:eastAsia="ru-RU"/>
                        </w:rPr>
                        <w:t>π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vertAlign w:val="superscript"/>
                          <w:lang w:eastAsia="ru-RU"/>
                        </w:rPr>
                        <w:t>-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eastAsia="ru-RU"/>
                        </w:rPr>
                        <w:t xml:space="preserve"> от энергии,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eastAsia="ru-RU"/>
                        </w:rPr>
                        <w:t xml:space="preserve"> измеренная КМД-3.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0AEB" w:rsidRDefault="001B0AEB" w:rsidP="001B0AE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B0AEB" w:rsidRDefault="001B0AEB">
      <w:pPr>
        <w:spacing w:line="276" w:lineRule="auto"/>
        <w:jc w:val="both"/>
        <w:rPr>
          <w:rFonts w:ascii="Times New Roman" w:hAnsi="Times New Roman" w:cs="Times New Roman"/>
          <w:color w:val="222222"/>
          <w:lang w:eastAsia="ru-RU"/>
        </w:rPr>
      </w:pPr>
    </w:p>
    <w:p w:rsidR="001B0AEB" w:rsidRDefault="001B0AEB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1B0AEB" w:rsidRDefault="001B0AEB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1B0AEB" w:rsidRDefault="001B0AEB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9739F" w:rsidRDefault="00A9739F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Публикации</w:t>
      </w:r>
      <w:r w:rsidR="009C3B5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="009C3B5A">
        <w:rPr>
          <w:rFonts w:ascii="Times New Roman" w:hAnsi="Times New Roman" w:cs="Times New Roman"/>
          <w:color w:val="000000"/>
        </w:rPr>
        <w:t xml:space="preserve"> </w:t>
      </w:r>
    </w:p>
    <w:p w:rsidR="0004024B" w:rsidRPr="0004024B" w:rsidRDefault="00A9739F">
      <w:pPr>
        <w:spacing w:line="276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1. F</w:t>
      </w:r>
      <w:r w:rsidRPr="00A9739F">
        <w:rPr>
          <w:rFonts w:ascii="Times New Roman" w:hAnsi="Times New Roman" w:cs="Times New Roman"/>
          <w:color w:val="000000"/>
          <w:lang w:val="en-US"/>
        </w:rPr>
        <w:t>.</w:t>
      </w:r>
      <w:r>
        <w:rPr>
          <w:rFonts w:ascii="Times New Roman" w:hAnsi="Times New Roman" w:cs="Times New Roman"/>
          <w:color w:val="000000"/>
          <w:lang w:val="en-US"/>
        </w:rPr>
        <w:t>V</w:t>
      </w:r>
      <w:r w:rsidRPr="00A9739F">
        <w:rPr>
          <w:rFonts w:ascii="Times New Roman" w:hAnsi="Times New Roman" w:cs="Times New Roman"/>
          <w:color w:val="000000"/>
          <w:lang w:val="en-US"/>
        </w:rPr>
        <w:t>.</w:t>
      </w:r>
      <w:r>
        <w:rPr>
          <w:rFonts w:ascii="Times New Roman" w:hAnsi="Times New Roman" w:cs="Times New Roman"/>
          <w:color w:val="000000"/>
          <w:lang w:val="en-US"/>
        </w:rPr>
        <w:t>Ignatov</w:t>
      </w:r>
      <w:r w:rsidRPr="00A9739F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9C3B5A" w:rsidRPr="00A9739F">
        <w:rPr>
          <w:rFonts w:ascii="Times New Roman" w:hAnsi="Times New Roman" w:cs="Times New Roman"/>
          <w:color w:val="000000"/>
          <w:lang w:val="en-US"/>
        </w:rPr>
        <w:t xml:space="preserve">et al. </w:t>
      </w:r>
      <w:r>
        <w:rPr>
          <w:rFonts w:ascii="Times New Roman" w:hAnsi="Times New Roman" w:cs="Times New Roman"/>
          <w:color w:val="000000"/>
          <w:lang w:val="en-US"/>
        </w:rPr>
        <w:t>(CMD-3</w:t>
      </w:r>
      <w:r w:rsidR="009C3B5A">
        <w:rPr>
          <w:rFonts w:ascii="Times New Roman" w:hAnsi="Times New Roman" w:cs="Times New Roman"/>
          <w:color w:val="000000"/>
          <w:lang w:val="en-US"/>
        </w:rPr>
        <w:t xml:space="preserve"> Collaboration) </w:t>
      </w:r>
      <w:r w:rsidRPr="00A9739F">
        <w:rPr>
          <w:rFonts w:ascii="Times New Roman" w:hAnsi="Times New Roman" w:cs="Times New Roman"/>
          <w:color w:val="000000"/>
          <w:lang w:val="en-US"/>
        </w:rPr>
        <w:t xml:space="preserve">Measurement of the pion </w:t>
      </w:r>
      <w:proofErr w:type="spellStart"/>
      <w:r w:rsidRPr="00A9739F">
        <w:rPr>
          <w:rFonts w:ascii="Times New Roman" w:hAnsi="Times New Roman" w:cs="Times New Roman"/>
          <w:color w:val="000000"/>
          <w:lang w:val="en-US"/>
        </w:rPr>
        <w:t>formfactor</w:t>
      </w:r>
      <w:proofErr w:type="spellEnd"/>
      <w:r w:rsidRPr="00A9739F">
        <w:rPr>
          <w:rFonts w:ascii="Times New Roman" w:hAnsi="Times New Roman" w:cs="Times New Roman"/>
          <w:color w:val="000000"/>
          <w:lang w:val="en-US"/>
        </w:rPr>
        <w:t xml:space="preserve"> with CMD-3 detector and its implication to the hadronic contribution to muon (g-2)</w:t>
      </w:r>
      <w:r w:rsidR="009C3B5A">
        <w:rPr>
          <w:rFonts w:ascii="Times New Roman" w:hAnsi="Times New Roman" w:cs="Times New Roman"/>
          <w:color w:val="000000"/>
          <w:lang w:val="en-US"/>
        </w:rPr>
        <w:t xml:space="preserve"> // </w:t>
      </w:r>
      <w:r w:rsidR="0004024B" w:rsidRPr="0004024B">
        <w:rPr>
          <w:rFonts w:ascii="Times New Roman" w:hAnsi="Times New Roman" w:cs="Times New Roman"/>
          <w:color w:val="000000"/>
          <w:lang w:val="en-US"/>
        </w:rPr>
        <w:t>arXiv</w:t>
      </w:r>
      <w:proofErr w:type="gramStart"/>
      <w:r w:rsidR="0004024B" w:rsidRPr="0004024B">
        <w:rPr>
          <w:rFonts w:ascii="Times New Roman" w:hAnsi="Times New Roman" w:cs="Times New Roman"/>
          <w:color w:val="000000"/>
          <w:lang w:val="en-US"/>
        </w:rPr>
        <w:t>:2309.12910</w:t>
      </w:r>
      <w:proofErr w:type="gramEnd"/>
      <w:r w:rsidR="0004024B" w:rsidRPr="0004024B">
        <w:rPr>
          <w:rFonts w:ascii="Times New Roman" w:hAnsi="Times New Roman" w:cs="Times New Roman"/>
          <w:color w:val="000000"/>
          <w:lang w:val="en-US"/>
        </w:rPr>
        <w:t xml:space="preserve"> [</w:t>
      </w:r>
      <w:proofErr w:type="spellStart"/>
      <w:r w:rsidR="0004024B" w:rsidRPr="0004024B">
        <w:rPr>
          <w:rFonts w:ascii="Times New Roman" w:hAnsi="Times New Roman" w:cs="Times New Roman"/>
          <w:color w:val="000000"/>
          <w:lang w:val="en-US"/>
        </w:rPr>
        <w:t>hep</w:t>
      </w:r>
      <w:proofErr w:type="spellEnd"/>
      <w:r w:rsidR="0004024B" w:rsidRPr="0004024B">
        <w:rPr>
          <w:rFonts w:ascii="Times New Roman" w:hAnsi="Times New Roman" w:cs="Times New Roman"/>
          <w:color w:val="000000"/>
          <w:lang w:val="en-US"/>
        </w:rPr>
        <w:t>-ex]</w:t>
      </w:r>
    </w:p>
    <w:p w:rsidR="00A9739F" w:rsidRPr="00B33805" w:rsidRDefault="00A9739F">
      <w:pPr>
        <w:spacing w:line="276" w:lineRule="auto"/>
        <w:jc w:val="both"/>
        <w:rPr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F</w:t>
      </w:r>
      <w:r w:rsidRPr="00A9739F">
        <w:rPr>
          <w:rFonts w:ascii="Times New Roman" w:hAnsi="Times New Roman" w:cs="Times New Roman"/>
          <w:color w:val="000000"/>
          <w:lang w:val="en-US"/>
        </w:rPr>
        <w:t>.</w:t>
      </w:r>
      <w:r>
        <w:rPr>
          <w:rFonts w:ascii="Times New Roman" w:hAnsi="Times New Roman" w:cs="Times New Roman"/>
          <w:color w:val="000000"/>
          <w:lang w:val="en-US"/>
        </w:rPr>
        <w:t>V</w:t>
      </w:r>
      <w:r w:rsidRPr="00A9739F">
        <w:rPr>
          <w:rFonts w:ascii="Times New Roman" w:hAnsi="Times New Roman" w:cs="Times New Roman"/>
          <w:color w:val="000000"/>
          <w:lang w:val="en-US"/>
        </w:rPr>
        <w:t>.</w:t>
      </w:r>
      <w:r>
        <w:rPr>
          <w:rFonts w:ascii="Times New Roman" w:hAnsi="Times New Roman" w:cs="Times New Roman"/>
          <w:color w:val="000000"/>
          <w:lang w:val="en-US"/>
        </w:rPr>
        <w:t>Ignatov</w:t>
      </w:r>
      <w:proofErr w:type="spellEnd"/>
      <w:r w:rsidRPr="00A9739F">
        <w:rPr>
          <w:rFonts w:ascii="Times New Roman" w:hAnsi="Times New Roman" w:cs="Times New Roman"/>
          <w:color w:val="000000"/>
          <w:lang w:val="en-US"/>
        </w:rPr>
        <w:t xml:space="preserve"> et al. </w:t>
      </w:r>
      <w:r>
        <w:rPr>
          <w:rFonts w:ascii="Times New Roman" w:hAnsi="Times New Roman" w:cs="Times New Roman"/>
          <w:color w:val="000000"/>
          <w:lang w:val="en-US"/>
        </w:rPr>
        <w:t xml:space="preserve">(CMD-3 Collaboration) </w:t>
      </w:r>
      <w:r w:rsidRPr="00A9739F">
        <w:rPr>
          <w:rFonts w:ascii="Times New Roman" w:hAnsi="Times New Roman" w:cs="Times New Roman"/>
          <w:color w:val="000000"/>
          <w:lang w:val="en-US"/>
        </w:rPr>
        <w:t>Measurement of the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val="en-US"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val="en-US" w:eastAsia="ru-RU"/>
              </w:rPr>
              <m:t>-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val="en-US" w:eastAsia="ru-RU"/>
          </w:rPr>
          <m:t>→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val="en-US"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val="en-US" w:eastAsia="ru-RU"/>
              </w:rPr>
              <m:t>-</m:t>
            </m:r>
          </m:sup>
        </m:sSup>
      </m:oMath>
      <w:r w:rsidRPr="00A9739F">
        <w:rPr>
          <w:rFonts w:ascii="Times New Roman" w:hAnsi="Times New Roman" w:cs="Times New Roman"/>
          <w:color w:val="000000"/>
          <w:lang w:val="en-US"/>
        </w:rPr>
        <w:t xml:space="preserve"> cross section from threshold to 1.2 GeV with the CMD-3 detector</w:t>
      </w:r>
      <w:r>
        <w:rPr>
          <w:rFonts w:ascii="Times New Roman" w:hAnsi="Times New Roman" w:cs="Times New Roman"/>
          <w:color w:val="000000"/>
          <w:lang w:val="en-US"/>
        </w:rPr>
        <w:t xml:space="preserve"> // </w:t>
      </w:r>
      <w:r w:rsidRPr="00A9739F">
        <w:rPr>
          <w:rFonts w:ascii="Times New Roman" w:hAnsi="Times New Roman" w:cs="Times New Roman"/>
          <w:color w:val="000000"/>
          <w:lang w:val="en-US"/>
        </w:rPr>
        <w:t>arXiv</w:t>
      </w:r>
      <w:proofErr w:type="gramStart"/>
      <w:r w:rsidRPr="00A9739F">
        <w:rPr>
          <w:rFonts w:ascii="Times New Roman" w:hAnsi="Times New Roman" w:cs="Times New Roman"/>
          <w:color w:val="000000"/>
          <w:lang w:val="en-US"/>
        </w:rPr>
        <w:t>:2302.08834</w:t>
      </w:r>
      <w:proofErr w:type="gramEnd"/>
      <w:r w:rsidRPr="00A9739F">
        <w:rPr>
          <w:rFonts w:ascii="Times New Roman" w:hAnsi="Times New Roman" w:cs="Times New Roman"/>
          <w:color w:val="000000"/>
          <w:lang w:val="en-US"/>
        </w:rPr>
        <w:t xml:space="preserve"> [</w:t>
      </w:r>
      <w:proofErr w:type="spellStart"/>
      <w:r w:rsidRPr="00A9739F">
        <w:rPr>
          <w:rFonts w:ascii="Times New Roman" w:hAnsi="Times New Roman" w:cs="Times New Roman"/>
          <w:color w:val="000000"/>
          <w:lang w:val="en-US"/>
        </w:rPr>
        <w:t>hep</w:t>
      </w:r>
      <w:proofErr w:type="spellEnd"/>
      <w:r w:rsidRPr="00A9739F">
        <w:rPr>
          <w:rFonts w:ascii="Times New Roman" w:hAnsi="Times New Roman" w:cs="Times New Roman"/>
          <w:color w:val="000000"/>
          <w:lang w:val="en-US"/>
        </w:rPr>
        <w:t>-ex]</w:t>
      </w:r>
    </w:p>
    <w:sectPr w:rsidR="00A9739F" w:rsidRPr="00B3380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4024B"/>
    <w:rsid w:val="000C6A7A"/>
    <w:rsid w:val="001B0AEB"/>
    <w:rsid w:val="001B7B2A"/>
    <w:rsid w:val="00240FB5"/>
    <w:rsid w:val="002C6E06"/>
    <w:rsid w:val="005C7682"/>
    <w:rsid w:val="00763126"/>
    <w:rsid w:val="008F6115"/>
    <w:rsid w:val="009005EE"/>
    <w:rsid w:val="009C3B5A"/>
    <w:rsid w:val="00A0501B"/>
    <w:rsid w:val="00A9739F"/>
    <w:rsid w:val="00B33805"/>
    <w:rsid w:val="00C34BB2"/>
    <w:rsid w:val="00CC506D"/>
    <w:rsid w:val="00C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Placeholder Text"/>
    <w:basedOn w:val="a0"/>
    <w:uiPriority w:val="99"/>
    <w:semiHidden/>
    <w:rsid w:val="005C76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52A6-7C65-4474-BE85-45818B50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Ivan Logashenko</cp:lastModifiedBy>
  <cp:revision>28</cp:revision>
  <dcterms:created xsi:type="dcterms:W3CDTF">2020-12-02T03:09:00Z</dcterms:created>
  <dcterms:modified xsi:type="dcterms:W3CDTF">2023-11-26T15:05:00Z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